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left="-720" w:right="-360" w:firstLine="90"/>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32"/>
          <w:szCs w:val="32"/>
          <w:rtl w:val="0"/>
        </w:rPr>
        <w:t xml:space="preserve">  </w:t>
        <w:tab/>
        <w:tab/>
        <w:tab/>
        <w:t xml:space="preserve">            </w:t>
      </w:r>
      <w:r w:rsidDel="00000000" w:rsidR="00000000" w:rsidRPr="00000000">
        <w:rPr>
          <w:rFonts w:ascii="Helvetica Neue" w:cs="Helvetica Neue" w:eastAsia="Helvetica Neue" w:hAnsi="Helvetica Neue"/>
          <w:b w:val="1"/>
          <w:sz w:val="26"/>
          <w:szCs w:val="26"/>
          <w:rtl w:val="0"/>
        </w:rPr>
        <w:t xml:space="preserve">TSH - Dried Blood Spot (DBS) Test</w:t>
      </w:r>
      <w:r w:rsidDel="00000000" w:rsidR="00000000" w:rsidRPr="00000000">
        <w:drawing>
          <wp:anchor allowOverlap="1" behindDoc="1" distB="114300" distT="114300" distL="114300" distR="114300" hidden="0" layoutInCell="1" locked="0" relativeHeight="0" simplePos="0">
            <wp:simplePos x="0" y="0"/>
            <wp:positionH relativeFrom="column">
              <wp:posOffset>-438149</wp:posOffset>
            </wp:positionH>
            <wp:positionV relativeFrom="paragraph">
              <wp:posOffset>114300</wp:posOffset>
            </wp:positionV>
            <wp:extent cx="1857375" cy="609600"/>
            <wp:effectExtent b="0" l="0" r="0" t="0"/>
            <wp:wrapNone/>
            <wp:docPr id="3" name="image2.png"/>
            <a:graphic>
              <a:graphicData uri="http://schemas.openxmlformats.org/drawingml/2006/picture">
                <pic:pic>
                  <pic:nvPicPr>
                    <pic:cNvPr id="0" name="image2.png"/>
                    <pic:cNvPicPr preferRelativeResize="0"/>
                  </pic:nvPicPr>
                  <pic:blipFill>
                    <a:blip r:embed="rId6"/>
                    <a:srcRect b="0" l="0" r="0" t="15789"/>
                    <a:stretch>
                      <a:fillRect/>
                    </a:stretch>
                  </pic:blipFill>
                  <pic:spPr>
                    <a:xfrm>
                      <a:off x="0" y="0"/>
                      <a:ext cx="1857375" cy="609600"/>
                    </a:xfrm>
                    <a:prstGeom prst="rect"/>
                    <a:ln/>
                  </pic:spPr>
                </pic:pic>
              </a:graphicData>
            </a:graphic>
          </wp:anchor>
        </w:drawing>
      </w:r>
    </w:p>
    <w:p w:rsidR="00000000" w:rsidDel="00000000" w:rsidP="00000000" w:rsidRDefault="00000000" w:rsidRPr="00000000" w14:paraId="00000002">
      <w:pPr>
        <w:spacing w:after="240" w:befor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3">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TSH (Thyroid-Stimulating Hormone) testing is essential for diagnosing and monitoring thyroid disorders, such as hypothyroidism and hyperthyroidism. It evaluates thyroid function by measuring how much TSH the pituitary gland releases in response to the body’s need for thyroid hormones. This</w:t>
      </w:r>
      <w:r w:rsidDel="00000000" w:rsidR="00000000" w:rsidRPr="00000000">
        <w:rPr>
          <w:rFonts w:ascii="Helvetica Neue" w:cs="Helvetica Neue" w:eastAsia="Helvetica Neue" w:hAnsi="Helvetica Neue"/>
          <w:sz w:val="24"/>
          <w:szCs w:val="24"/>
          <w:rtl w:val="0"/>
        </w:rPr>
        <w:t xml:space="preserve"> document details the comparison between Thyroid-Stimulating Hormone (TSH) testing using the Whatman 903 Dried Blood Spot (DBS) samples and traditional venous draw for testing at IHDLab. </w:t>
      </w:r>
    </w:p>
    <w:p w:rsidR="00000000" w:rsidDel="00000000" w:rsidP="00000000" w:rsidRDefault="00000000" w:rsidRPr="00000000" w14:paraId="00000004">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Testing Collection and Methods Overview</w:t>
      </w:r>
      <w:r w:rsidDel="00000000" w:rsidR="00000000" w:rsidRPr="00000000">
        <w:rPr>
          <w:rFonts w:ascii="Helvetica Neue" w:cs="Helvetica Neue" w:eastAsia="Helvetica Neue" w:hAnsi="Helvetica Neue"/>
          <w:sz w:val="24"/>
          <w:szCs w:val="24"/>
        </w:rPr>
        <w:drawing>
          <wp:inline distB="114300" distT="114300" distL="114300" distR="114300">
            <wp:extent cx="5348288" cy="1431353"/>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348288" cy="1431353"/>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Data on Sensitivity and Specificity - Correlation</w:t>
      </w:r>
      <w:r w:rsidDel="00000000" w:rsidR="00000000" w:rsidRPr="00000000">
        <w:rPr>
          <w:rFonts w:ascii="Helvetica Neue" w:cs="Helvetica Neue" w:eastAsia="Helvetica Neue" w:hAnsi="Helvetica Neue"/>
          <w:sz w:val="24"/>
          <w:szCs w:val="24"/>
          <w:rtl w:val="0"/>
        </w:rPr>
        <w:t xml:space="preserve">: Upholding our high standards for precision, the validation study reported a correlation of 99.35% between DBS on Whatman 903 cards and venipuncture, reflecting our commitment to accuracy in every test conducted.</w:t>
      </w:r>
    </w:p>
    <w:p w:rsidR="00000000" w:rsidDel="00000000" w:rsidP="00000000" w:rsidRDefault="00000000" w:rsidRPr="00000000" w14:paraId="00000006">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Clinical Relevance</w:t>
      </w:r>
      <w:r w:rsidDel="00000000" w:rsidR="00000000" w:rsidRPr="00000000">
        <w:drawing>
          <wp:anchor allowOverlap="1" behindDoc="1" distB="114300" distT="114300" distL="114300" distR="114300" hidden="0" layoutInCell="1" locked="0" relativeHeight="0" simplePos="0">
            <wp:simplePos x="0" y="0"/>
            <wp:positionH relativeFrom="column">
              <wp:posOffset>514350</wp:posOffset>
            </wp:positionH>
            <wp:positionV relativeFrom="paragraph">
              <wp:posOffset>200025</wp:posOffset>
            </wp:positionV>
            <wp:extent cx="4912448" cy="1204495"/>
            <wp:effectExtent b="0" l="0" r="0" t="0"/>
            <wp:wrapNone/>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912448" cy="1204495"/>
                    </a:xfrm>
                    <a:prstGeom prst="rect"/>
                    <a:ln/>
                  </pic:spPr>
                </pic:pic>
              </a:graphicData>
            </a:graphic>
          </wp:anchor>
        </w:drawing>
      </w:r>
    </w:p>
    <w:p w:rsidR="00000000" w:rsidDel="00000000" w:rsidP="00000000" w:rsidRDefault="00000000" w:rsidRPr="00000000" w14:paraId="00000007">
      <w:pPr>
        <w:spacing w:after="240" w:befor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8">
      <w:pPr>
        <w:spacing w:after="240" w:befor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9">
      <w:pPr>
        <w:spacing w:after="240" w:befor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A">
      <w:pPr>
        <w:spacing w:after="240" w:befor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B">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Conclusion: </w:t>
      </w:r>
      <w:r w:rsidDel="00000000" w:rsidR="00000000" w:rsidRPr="00000000">
        <w:rPr>
          <w:rFonts w:ascii="Helvetica Neue" w:cs="Helvetica Neue" w:eastAsia="Helvetica Neue" w:hAnsi="Helvetica Neue"/>
          <w:sz w:val="24"/>
          <w:szCs w:val="24"/>
          <w:rtl w:val="0"/>
        </w:rPr>
        <w:t xml:space="preserve">DBS testing on Whatman 903 cards embodies our mission by providing a practical, reliable, and accessible alternative to venous draw to empower every person with access to accurate and actionable clinical testing when and where it matters most.</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